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4BE3" w14:textId="0F4C6C82" w:rsidR="00E26F84" w:rsidRPr="0038592A" w:rsidRDefault="00E26F84" w:rsidP="00E26F84">
      <w:pPr>
        <w:jc w:val="right"/>
        <w:rPr>
          <w:rFonts w:cstheme="minorHAnsi"/>
        </w:rPr>
      </w:pPr>
      <w:r w:rsidRPr="0038592A">
        <w:rPr>
          <w:rFonts w:cstheme="minorHAnsi"/>
          <w:bCs/>
        </w:rPr>
        <w:t>Załącznik nr 2 do ZO/</w:t>
      </w:r>
      <w:r w:rsidR="006D6B7D" w:rsidRPr="0038592A">
        <w:rPr>
          <w:rFonts w:cstheme="minorHAnsi"/>
          <w:bCs/>
        </w:rPr>
        <w:t>4</w:t>
      </w:r>
      <w:r w:rsidRPr="0038592A">
        <w:rPr>
          <w:rFonts w:cstheme="minorHAnsi"/>
          <w:bCs/>
        </w:rPr>
        <w:t>/26/PN</w:t>
      </w:r>
    </w:p>
    <w:p w14:paraId="33D59E17" w14:textId="77777777" w:rsidR="00AE0366" w:rsidRPr="0038592A" w:rsidRDefault="00AE0366" w:rsidP="00080D69">
      <w:pPr>
        <w:jc w:val="center"/>
        <w:rPr>
          <w:rFonts w:cstheme="minorHAnsi"/>
        </w:rPr>
      </w:pPr>
    </w:p>
    <w:p w14:paraId="79D414DB" w14:textId="4A26213B" w:rsidR="002E03C9" w:rsidRPr="0038592A" w:rsidRDefault="00E26F84" w:rsidP="00080D69">
      <w:pPr>
        <w:jc w:val="center"/>
        <w:rPr>
          <w:rFonts w:cstheme="minorHAnsi"/>
        </w:rPr>
      </w:pPr>
      <w:r w:rsidRPr="0038592A">
        <w:rPr>
          <w:rFonts w:cstheme="minorHAnsi"/>
        </w:rPr>
        <w:t>OPIS PRZEDMIOTU ZAMÓWIENIA</w:t>
      </w:r>
    </w:p>
    <w:p w14:paraId="4DD58A6F" w14:textId="7878C357" w:rsidR="00E26F84" w:rsidRPr="0038592A" w:rsidRDefault="00E26F84" w:rsidP="006D6B7D">
      <w:pPr>
        <w:pStyle w:val="Akapitzlist"/>
        <w:spacing w:after="0" w:line="240" w:lineRule="auto"/>
        <w:ind w:left="0"/>
        <w:jc w:val="center"/>
        <w:rPr>
          <w:rFonts w:cstheme="minorHAnsi"/>
          <w:b/>
          <w:sz w:val="21"/>
          <w:szCs w:val="21"/>
        </w:rPr>
      </w:pPr>
      <w:r w:rsidRPr="0038592A">
        <w:rPr>
          <w:rFonts w:cstheme="minorHAnsi"/>
          <w:b/>
        </w:rPr>
        <w:t xml:space="preserve">Przedmiotem zamówienia jest </w:t>
      </w:r>
      <w:bookmarkStart w:id="0" w:name="_Hlk223339405"/>
      <w:r w:rsidRPr="0038592A">
        <w:rPr>
          <w:rFonts w:cstheme="minorHAnsi"/>
          <w:b/>
          <w:bCs/>
        </w:rPr>
        <w:t>sprzedaż i dostawa Zamawiającemu</w:t>
      </w:r>
      <w:bookmarkEnd w:id="0"/>
      <w:r w:rsidRPr="0038592A">
        <w:rPr>
          <w:rFonts w:cstheme="minorHAnsi"/>
          <w:b/>
          <w:bCs/>
        </w:rPr>
        <w:t xml:space="preserve"> środków dezynfekcyjno-dekontaminacyjnych dedykowanych do pracy przy zaawansowanych produktach terapii komórkowych (ATMP).</w:t>
      </w:r>
    </w:p>
    <w:p w14:paraId="74932E86" w14:textId="3616C8E4" w:rsidR="00E26F84" w:rsidRPr="0038592A" w:rsidRDefault="00E26F84" w:rsidP="00E26F84">
      <w:pPr>
        <w:pStyle w:val="Akapitzlist"/>
        <w:spacing w:after="0" w:line="240" w:lineRule="auto"/>
        <w:ind w:left="0"/>
        <w:jc w:val="center"/>
        <w:rPr>
          <w:rFonts w:cstheme="minorHAnsi"/>
        </w:rPr>
      </w:pPr>
    </w:p>
    <w:p w14:paraId="5E40796C" w14:textId="77777777" w:rsidR="00E26F84" w:rsidRPr="0038592A" w:rsidRDefault="00E26F84" w:rsidP="00080D69">
      <w:pPr>
        <w:jc w:val="center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908"/>
        <w:gridCol w:w="2287"/>
        <w:gridCol w:w="1347"/>
      </w:tblGrid>
      <w:tr w:rsidR="00E26F84" w:rsidRPr="0038592A" w14:paraId="5802BFF1" w14:textId="77777777" w:rsidTr="00062FED">
        <w:trPr>
          <w:trHeight w:val="320"/>
        </w:trPr>
        <w:tc>
          <w:tcPr>
            <w:tcW w:w="530" w:type="dxa"/>
          </w:tcPr>
          <w:p w14:paraId="5222D4BC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5754" w:type="dxa"/>
          </w:tcPr>
          <w:p w14:paraId="1D481F6B" w14:textId="5E2EF2D1" w:rsidR="00E26F84" w:rsidRPr="0038592A" w:rsidRDefault="00AE0366" w:rsidP="00062FED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2606" w:type="dxa"/>
          </w:tcPr>
          <w:p w14:paraId="72EA0DA8" w14:textId="43650691" w:rsidR="00E26F84" w:rsidRPr="0038592A" w:rsidRDefault="00191122" w:rsidP="00062FED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Rodzaj i wielkość opakowania</w:t>
            </w:r>
          </w:p>
        </w:tc>
        <w:tc>
          <w:tcPr>
            <w:tcW w:w="1566" w:type="dxa"/>
          </w:tcPr>
          <w:p w14:paraId="181AD24E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Ilość</w:t>
            </w:r>
          </w:p>
        </w:tc>
      </w:tr>
      <w:tr w:rsidR="00E26F84" w:rsidRPr="0038592A" w14:paraId="5B48F737" w14:textId="77777777" w:rsidTr="00062FED">
        <w:trPr>
          <w:trHeight w:val="320"/>
        </w:trPr>
        <w:tc>
          <w:tcPr>
            <w:tcW w:w="530" w:type="dxa"/>
          </w:tcPr>
          <w:p w14:paraId="7C8A76EF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5754" w:type="dxa"/>
            <w:vAlign w:val="center"/>
          </w:tcPr>
          <w:p w14:paraId="6701AEBA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Sterylny preparat do dezynfekcji powierzchni na bazie alkoholu izopropylowego o stężeniu ok. 70%, przygotowany na wodzie do iniekcji (WFI) lub równoważnej, o gwarantowanym niskim poziomie endotoksyn. Produkt filtrowany (≤0,2 µm), sterylizowany radiacyjnie, pakowany wielowarstwowo do stosowania w pomieszczeniach czystych. Działanie bakteriobójcze, grzybobójcze i wirusobójcze. Forma spray. Pojemność ok. 500 ml.</w:t>
            </w:r>
          </w:p>
        </w:tc>
        <w:tc>
          <w:tcPr>
            <w:tcW w:w="2606" w:type="dxa"/>
            <w:vAlign w:val="center"/>
          </w:tcPr>
          <w:p w14:paraId="4698F1CF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500 ml</w:t>
            </w:r>
          </w:p>
        </w:tc>
        <w:tc>
          <w:tcPr>
            <w:tcW w:w="1566" w:type="dxa"/>
            <w:vAlign w:val="center"/>
          </w:tcPr>
          <w:p w14:paraId="74815CAD" w14:textId="77777777" w:rsidR="00E26F84" w:rsidRPr="0038592A" w:rsidRDefault="00E26F84" w:rsidP="00062FE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36</w:t>
            </w:r>
          </w:p>
          <w:p w14:paraId="21CD47D2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E26F84" w:rsidRPr="0038592A" w14:paraId="24BDE9E6" w14:textId="77777777" w:rsidTr="00062FED">
        <w:trPr>
          <w:trHeight w:val="301"/>
        </w:trPr>
        <w:tc>
          <w:tcPr>
            <w:tcW w:w="530" w:type="dxa"/>
          </w:tcPr>
          <w:p w14:paraId="1940CE1A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5754" w:type="dxa"/>
            <w:vAlign w:val="center"/>
          </w:tcPr>
          <w:p w14:paraId="662F7C1B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 xml:space="preserve">Sterylny, gotowy do użycia preparat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sporobójczy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 xml:space="preserve"> na bazie nadtlenku wodoru o stężeniu ok. 6%, oparty na wodzie do iniekcji (WFI). Produkt filtrowany (≤0,2 µm), sterylizowany radiacyjnie,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niskopozostałościowy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 xml:space="preserve">, niewymagający spłukiwania. Działanie bakteriobójcze, grzybobójcze, wirusobójcze i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sporobójcze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>. Forma spray. Pojemność ok. 1 l.</w:t>
            </w:r>
          </w:p>
        </w:tc>
        <w:tc>
          <w:tcPr>
            <w:tcW w:w="2606" w:type="dxa"/>
            <w:vAlign w:val="center"/>
          </w:tcPr>
          <w:p w14:paraId="46B90EA5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1000 ml</w:t>
            </w:r>
          </w:p>
        </w:tc>
        <w:tc>
          <w:tcPr>
            <w:tcW w:w="1566" w:type="dxa"/>
            <w:vAlign w:val="center"/>
          </w:tcPr>
          <w:p w14:paraId="4473ACED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48</w:t>
            </w:r>
          </w:p>
        </w:tc>
      </w:tr>
      <w:tr w:rsidR="00E26F84" w:rsidRPr="0038592A" w14:paraId="1B60A344" w14:textId="77777777" w:rsidTr="00062FED">
        <w:trPr>
          <w:trHeight w:val="320"/>
        </w:trPr>
        <w:tc>
          <w:tcPr>
            <w:tcW w:w="530" w:type="dxa"/>
          </w:tcPr>
          <w:p w14:paraId="24C2E251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5754" w:type="dxa"/>
            <w:vAlign w:val="center"/>
          </w:tcPr>
          <w:p w14:paraId="6370F505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bCs/>
                <w:sz w:val="18"/>
                <w:szCs w:val="18"/>
              </w:rPr>
              <w:t xml:space="preserve">Sterylny preparat do dezynfekcji powierzchni na bazie czwartorzędowych związków amoniowych, przeznaczony do twardych, nieporowatych powierzchni w pomieszczeniach czystych. Produkt </w:t>
            </w:r>
            <w:proofErr w:type="spellStart"/>
            <w:r w:rsidRPr="0038592A">
              <w:rPr>
                <w:rFonts w:cstheme="minorHAnsi"/>
                <w:bCs/>
                <w:sz w:val="18"/>
                <w:szCs w:val="18"/>
              </w:rPr>
              <w:t>niskopozostałościowy</w:t>
            </w:r>
            <w:proofErr w:type="spellEnd"/>
            <w:r w:rsidRPr="0038592A">
              <w:rPr>
                <w:rFonts w:cstheme="minorHAnsi"/>
                <w:bCs/>
                <w:sz w:val="18"/>
                <w:szCs w:val="18"/>
              </w:rPr>
              <w:t>, gotowy do użycia, sterylny. Forma spray. Pojemność ok. 1 l.</w:t>
            </w:r>
          </w:p>
        </w:tc>
        <w:tc>
          <w:tcPr>
            <w:tcW w:w="2606" w:type="dxa"/>
            <w:vAlign w:val="center"/>
          </w:tcPr>
          <w:p w14:paraId="7F74B879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1000 ml</w:t>
            </w:r>
          </w:p>
        </w:tc>
        <w:tc>
          <w:tcPr>
            <w:tcW w:w="1566" w:type="dxa"/>
            <w:vAlign w:val="center"/>
          </w:tcPr>
          <w:p w14:paraId="3BD5FD3B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150</w:t>
            </w:r>
          </w:p>
        </w:tc>
      </w:tr>
      <w:tr w:rsidR="00E26F84" w:rsidRPr="0038592A" w14:paraId="38998C95" w14:textId="77777777" w:rsidTr="00062FED">
        <w:trPr>
          <w:trHeight w:val="320"/>
        </w:trPr>
        <w:tc>
          <w:tcPr>
            <w:tcW w:w="530" w:type="dxa"/>
          </w:tcPr>
          <w:p w14:paraId="65643195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5754" w:type="dxa"/>
            <w:vAlign w:val="center"/>
          </w:tcPr>
          <w:p w14:paraId="4FCEFEB7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 xml:space="preserve">Sterylny, neutralny detergent niejonowy do mycia powierzchni w obszarach GMP, przeznaczony do rutynowego utrzymania czystości, skuteczny w usuwaniu tłustych i lepkich zanieczyszczeń. Produkt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niskopozostałościowy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>, nietoksyczny, niedrażniący i niekorozyjny. Forma spray. Pojemność ok. 1 l.</w:t>
            </w:r>
          </w:p>
        </w:tc>
        <w:tc>
          <w:tcPr>
            <w:tcW w:w="2606" w:type="dxa"/>
            <w:vAlign w:val="center"/>
          </w:tcPr>
          <w:p w14:paraId="530E874C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1000 ml</w:t>
            </w:r>
          </w:p>
        </w:tc>
        <w:tc>
          <w:tcPr>
            <w:tcW w:w="1566" w:type="dxa"/>
            <w:vAlign w:val="center"/>
          </w:tcPr>
          <w:p w14:paraId="6F696020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36</w:t>
            </w:r>
          </w:p>
        </w:tc>
      </w:tr>
      <w:tr w:rsidR="00E26F84" w:rsidRPr="0038592A" w14:paraId="37261EAD" w14:textId="77777777" w:rsidTr="00062FED">
        <w:trPr>
          <w:trHeight w:val="320"/>
        </w:trPr>
        <w:tc>
          <w:tcPr>
            <w:tcW w:w="530" w:type="dxa"/>
          </w:tcPr>
          <w:p w14:paraId="75B30BC3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5754" w:type="dxa"/>
            <w:vAlign w:val="center"/>
          </w:tcPr>
          <w:p w14:paraId="70D73DA9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 xml:space="preserve">Sterylny preparat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sporobójczy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 xml:space="preserve"> na bazie aktywnego chloru, gotowy do użycia, przeznaczony do dezynfekcji powierzchni w obszarach GMP. Produkt oparty na wodzie do iniekcji (WFI), filtrowany (≤0,2 µm), sterylizowany radiacyjnie, pakowany w podwójne opakowanie. Działanie bakteriobójcze, grzybobójcze, wirusobójcze i </w:t>
            </w:r>
            <w:proofErr w:type="spellStart"/>
            <w:r w:rsidRPr="0038592A">
              <w:rPr>
                <w:rFonts w:cstheme="minorHAnsi"/>
                <w:sz w:val="18"/>
                <w:szCs w:val="18"/>
              </w:rPr>
              <w:t>sporobójcze</w:t>
            </w:r>
            <w:proofErr w:type="spellEnd"/>
            <w:r w:rsidRPr="0038592A">
              <w:rPr>
                <w:rFonts w:cstheme="minorHAnsi"/>
                <w:sz w:val="18"/>
                <w:szCs w:val="18"/>
              </w:rPr>
              <w:t>. Forma spray. Pojemność ok. 0,9–1 l.</w:t>
            </w:r>
          </w:p>
        </w:tc>
        <w:tc>
          <w:tcPr>
            <w:tcW w:w="2606" w:type="dxa"/>
            <w:vAlign w:val="center"/>
          </w:tcPr>
          <w:p w14:paraId="0C65661F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900 - 1000 ml</w:t>
            </w:r>
          </w:p>
        </w:tc>
        <w:tc>
          <w:tcPr>
            <w:tcW w:w="1566" w:type="dxa"/>
            <w:vAlign w:val="center"/>
          </w:tcPr>
          <w:p w14:paraId="290B7221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36</w:t>
            </w:r>
          </w:p>
        </w:tc>
      </w:tr>
      <w:tr w:rsidR="00E26F84" w:rsidRPr="0038592A" w14:paraId="01ECB82F" w14:textId="77777777" w:rsidTr="00062FED">
        <w:trPr>
          <w:trHeight w:val="301"/>
        </w:trPr>
        <w:tc>
          <w:tcPr>
            <w:tcW w:w="530" w:type="dxa"/>
          </w:tcPr>
          <w:p w14:paraId="4C739FA6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5754" w:type="dxa"/>
            <w:vAlign w:val="center"/>
          </w:tcPr>
          <w:p w14:paraId="0AC0841E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Alkoholowy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roztwór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dezynfekcyjny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bazie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alkoholu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izopropylowego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stężeniu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ok. 70%,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przygotowany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wodzie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dejonizowanej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lub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równoważnej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filtrowany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(≤0,2 µm),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przeznaczony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dezynfekcji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powierzchni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w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środowisku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GMP. Forma spray.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Pojemność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ok. 1 l.</w:t>
            </w:r>
          </w:p>
        </w:tc>
        <w:tc>
          <w:tcPr>
            <w:tcW w:w="2606" w:type="dxa"/>
            <w:vAlign w:val="center"/>
          </w:tcPr>
          <w:p w14:paraId="16991A17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1000 ml</w:t>
            </w:r>
          </w:p>
        </w:tc>
        <w:tc>
          <w:tcPr>
            <w:tcW w:w="1566" w:type="dxa"/>
            <w:vAlign w:val="center"/>
          </w:tcPr>
          <w:p w14:paraId="0A8A97C3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54</w:t>
            </w:r>
          </w:p>
        </w:tc>
      </w:tr>
      <w:tr w:rsidR="00E26F84" w:rsidRPr="0038592A" w14:paraId="2FC10833" w14:textId="77777777" w:rsidTr="00062FED">
        <w:trPr>
          <w:trHeight w:val="320"/>
        </w:trPr>
        <w:tc>
          <w:tcPr>
            <w:tcW w:w="530" w:type="dxa"/>
          </w:tcPr>
          <w:p w14:paraId="71629A38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5754" w:type="dxa"/>
            <w:vAlign w:val="center"/>
          </w:tcPr>
          <w:p w14:paraId="6EC34A8F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Koncentrat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środka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dezynfekcyjnego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odmierzonej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dawce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przeznaczony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przygotowywania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roztworów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roboczych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działaniu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dezynfekcyjnym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myjącym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grzybobójczym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(w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zależności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od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rozcieńczenia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),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twardych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nieporowatych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powierzchni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w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pomieszczeniach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czystych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Pojemność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ok. 5 l.</w:t>
            </w:r>
          </w:p>
        </w:tc>
        <w:tc>
          <w:tcPr>
            <w:tcW w:w="2606" w:type="dxa"/>
            <w:vAlign w:val="center"/>
          </w:tcPr>
          <w:p w14:paraId="5510363A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5000 ml</w:t>
            </w:r>
          </w:p>
        </w:tc>
        <w:tc>
          <w:tcPr>
            <w:tcW w:w="1566" w:type="dxa"/>
            <w:vAlign w:val="center"/>
          </w:tcPr>
          <w:p w14:paraId="69FD26A9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4</w:t>
            </w:r>
          </w:p>
        </w:tc>
      </w:tr>
      <w:tr w:rsidR="00E26F84" w:rsidRPr="0038592A" w14:paraId="376AB23D" w14:textId="77777777" w:rsidTr="00062FED">
        <w:trPr>
          <w:trHeight w:val="320"/>
        </w:trPr>
        <w:tc>
          <w:tcPr>
            <w:tcW w:w="530" w:type="dxa"/>
          </w:tcPr>
          <w:p w14:paraId="1B644819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5754" w:type="dxa"/>
            <w:vAlign w:val="center"/>
          </w:tcPr>
          <w:p w14:paraId="712EAA11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Sterylny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preparat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sporobójczy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bazie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nadtlenku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wodoru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przeznaczony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dezynfekcji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powierzchni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w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pomieszczeniach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czystych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środowisku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GMP.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Produkt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gotowy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użycia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filtrowany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(≤0,2 µm),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sterylizowany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radiacyjnie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niskopozostałościowy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niewymagający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spłukiwania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Działanie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bakteriobójcze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grzybobójcze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wirusobójcze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sporobójcze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Opakowanie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zbiorcze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zawierające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12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jednostek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po ok. 750 ml.</w:t>
            </w:r>
          </w:p>
        </w:tc>
        <w:tc>
          <w:tcPr>
            <w:tcW w:w="2606" w:type="dxa"/>
            <w:vAlign w:val="center"/>
          </w:tcPr>
          <w:p w14:paraId="263F36DA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750 ml</w:t>
            </w:r>
          </w:p>
        </w:tc>
        <w:tc>
          <w:tcPr>
            <w:tcW w:w="1566" w:type="dxa"/>
            <w:vAlign w:val="center"/>
          </w:tcPr>
          <w:p w14:paraId="62281997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48</w:t>
            </w:r>
          </w:p>
        </w:tc>
      </w:tr>
      <w:tr w:rsidR="00E26F84" w:rsidRPr="0038592A" w14:paraId="29AC30AA" w14:textId="77777777" w:rsidTr="00062FED">
        <w:trPr>
          <w:trHeight w:val="320"/>
        </w:trPr>
        <w:tc>
          <w:tcPr>
            <w:tcW w:w="530" w:type="dxa"/>
          </w:tcPr>
          <w:p w14:paraId="134495B8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5754" w:type="dxa"/>
            <w:vAlign w:val="center"/>
          </w:tcPr>
          <w:p w14:paraId="4930793A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Sterylny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preparat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sporobójczy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bazie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aktywnego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chloru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przeznaczony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dezynfekcji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powierzchni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w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obszarach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GMP.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Produkt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gotowy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użycia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oparty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na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wodzie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do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iniekcji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(WFI)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lub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równoważnej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filtrowany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(≤0,2 µm),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sterylizowany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radiacyjnie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Działanie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bakteriobójcze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grzybobójcze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wirusobójcze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oraz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sporobójcze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Opakowanie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zbiorcze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zawierające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12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jednostek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masie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 xml:space="preserve"> ok. 170 g </w:t>
            </w:r>
            <w:proofErr w:type="spellStart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każda</w:t>
            </w:r>
            <w:proofErr w:type="spellEnd"/>
            <w:r w:rsidRPr="0038592A">
              <w:rPr>
                <w:rFonts w:cstheme="minorHAnsi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  <w:tc>
          <w:tcPr>
            <w:tcW w:w="2606" w:type="dxa"/>
            <w:vAlign w:val="center"/>
          </w:tcPr>
          <w:p w14:paraId="63A7878D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1op.</w:t>
            </w:r>
          </w:p>
        </w:tc>
        <w:tc>
          <w:tcPr>
            <w:tcW w:w="1566" w:type="dxa"/>
            <w:vAlign w:val="center"/>
          </w:tcPr>
          <w:p w14:paraId="2D081220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24</w:t>
            </w:r>
          </w:p>
        </w:tc>
      </w:tr>
      <w:tr w:rsidR="00E26F84" w:rsidRPr="0038592A" w14:paraId="64E578AC" w14:textId="77777777" w:rsidTr="00062FED">
        <w:trPr>
          <w:trHeight w:val="301"/>
        </w:trPr>
        <w:tc>
          <w:tcPr>
            <w:tcW w:w="530" w:type="dxa"/>
          </w:tcPr>
          <w:p w14:paraId="4DD3B7D5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38592A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5754" w:type="dxa"/>
            <w:vAlign w:val="center"/>
          </w:tcPr>
          <w:p w14:paraId="4E404A8F" w14:textId="77777777" w:rsidR="00E26F84" w:rsidRPr="0038592A" w:rsidRDefault="00E26F84" w:rsidP="00062FED">
            <w:pPr>
              <w:pStyle w:val="Akapitzlist"/>
              <w:ind w:left="0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bCs/>
                <w:kern w:val="36"/>
                <w:sz w:val="18"/>
                <w:szCs w:val="18"/>
              </w:rPr>
              <w:t xml:space="preserve">Sterylny, neutralny detergent niejonowy do mycia powierzchni w środowisku GMP, przeznaczony do rutynowego utrzymania czystości oraz usuwania tłustych i lepkich zanieczyszczeń. Produkt </w:t>
            </w:r>
            <w:proofErr w:type="spellStart"/>
            <w:r w:rsidRPr="0038592A">
              <w:rPr>
                <w:rFonts w:cstheme="minorHAnsi"/>
                <w:bCs/>
                <w:kern w:val="36"/>
                <w:sz w:val="18"/>
                <w:szCs w:val="18"/>
              </w:rPr>
              <w:t>niskopozostałościowy</w:t>
            </w:r>
            <w:proofErr w:type="spellEnd"/>
            <w:r w:rsidRPr="0038592A">
              <w:rPr>
                <w:rFonts w:cstheme="minorHAnsi"/>
                <w:bCs/>
                <w:kern w:val="36"/>
                <w:sz w:val="18"/>
                <w:szCs w:val="18"/>
              </w:rPr>
              <w:t xml:space="preserve">, nietoksyczny, niedrażniący i niekorozyjny. Forma płynna. Opakowanie zbiorcze zawierające 6 jednostek po ok. 1 l. </w:t>
            </w:r>
          </w:p>
        </w:tc>
        <w:tc>
          <w:tcPr>
            <w:tcW w:w="2606" w:type="dxa"/>
            <w:vAlign w:val="center"/>
          </w:tcPr>
          <w:p w14:paraId="1379242C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1000 ml</w:t>
            </w:r>
          </w:p>
        </w:tc>
        <w:tc>
          <w:tcPr>
            <w:tcW w:w="1566" w:type="dxa"/>
            <w:vAlign w:val="center"/>
          </w:tcPr>
          <w:p w14:paraId="296D65C1" w14:textId="77777777" w:rsidR="00E26F84" w:rsidRPr="0038592A" w:rsidRDefault="00E26F84" w:rsidP="00062FED">
            <w:pPr>
              <w:pStyle w:val="Akapitzlist"/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8592A">
              <w:rPr>
                <w:rFonts w:cstheme="minorHAnsi"/>
                <w:sz w:val="18"/>
                <w:szCs w:val="18"/>
              </w:rPr>
              <w:t>30</w:t>
            </w:r>
          </w:p>
        </w:tc>
      </w:tr>
    </w:tbl>
    <w:p w14:paraId="6F48AD07" w14:textId="77777777" w:rsidR="00E26F84" w:rsidRPr="0038592A" w:rsidRDefault="00E26F84" w:rsidP="00080D69">
      <w:pPr>
        <w:jc w:val="center"/>
        <w:rPr>
          <w:rFonts w:cstheme="minorHAnsi"/>
        </w:rPr>
      </w:pPr>
    </w:p>
    <w:sectPr w:rsidR="00E26F84" w:rsidRPr="0038592A" w:rsidSect="00E26F84">
      <w:headerReference w:type="default" r:id="rId7"/>
      <w:footerReference w:type="default" r:id="rId8"/>
      <w:pgSz w:w="11906" w:h="16838"/>
      <w:pgMar w:top="1417" w:right="1417" w:bottom="1417" w:left="1417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F208E" w14:textId="77777777" w:rsidR="00DA1B39" w:rsidRDefault="00DA1B39" w:rsidP="00E26F84">
      <w:pPr>
        <w:spacing w:after="0" w:line="240" w:lineRule="auto"/>
      </w:pPr>
      <w:r>
        <w:separator/>
      </w:r>
    </w:p>
  </w:endnote>
  <w:endnote w:type="continuationSeparator" w:id="0">
    <w:p w14:paraId="2F24F56A" w14:textId="77777777" w:rsidR="00DA1B39" w:rsidRDefault="00DA1B39" w:rsidP="00E2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2707" w14:textId="65EFDD61" w:rsidR="00E26F84" w:rsidRDefault="00E26F84">
    <w:pPr>
      <w:pStyle w:val="Stopka"/>
    </w:pPr>
    <w:r w:rsidRPr="009832D8">
      <w:rPr>
        <w:noProof/>
      </w:rPr>
      <w:drawing>
        <wp:anchor distT="0" distB="0" distL="114300" distR="114300" simplePos="0" relativeHeight="251662336" behindDoc="1" locked="0" layoutInCell="1" allowOverlap="1" wp14:anchorId="3E0CD2AA" wp14:editId="1374EFC3">
          <wp:simplePos x="0" y="0"/>
          <wp:positionH relativeFrom="column">
            <wp:posOffset>0</wp:posOffset>
          </wp:positionH>
          <wp:positionV relativeFrom="paragraph">
            <wp:posOffset>-180975</wp:posOffset>
          </wp:positionV>
          <wp:extent cx="5760720" cy="662305"/>
          <wp:effectExtent l="0" t="0" r="0" b="4445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30D7" w14:textId="77777777" w:rsidR="00DA1B39" w:rsidRDefault="00DA1B39" w:rsidP="00E26F84">
      <w:pPr>
        <w:spacing w:after="0" w:line="240" w:lineRule="auto"/>
      </w:pPr>
      <w:r>
        <w:separator/>
      </w:r>
    </w:p>
  </w:footnote>
  <w:footnote w:type="continuationSeparator" w:id="0">
    <w:p w14:paraId="4D1D52DC" w14:textId="77777777" w:rsidR="00DA1B39" w:rsidRDefault="00DA1B39" w:rsidP="00E26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B0C9" w14:textId="4D11E612" w:rsidR="00E26F84" w:rsidRDefault="00E26F84">
    <w:pPr>
      <w:pStyle w:val="Nagwek"/>
    </w:pPr>
    <w:r w:rsidRPr="00E26F84">
      <w:rPr>
        <w:noProof/>
      </w:rPr>
      <w:drawing>
        <wp:anchor distT="0" distB="0" distL="114300" distR="114300" simplePos="0" relativeHeight="251660288" behindDoc="1" locked="0" layoutInCell="1" allowOverlap="1" wp14:anchorId="54C99B6E" wp14:editId="692AD579">
          <wp:simplePos x="0" y="0"/>
          <wp:positionH relativeFrom="margin">
            <wp:posOffset>-346710</wp:posOffset>
          </wp:positionH>
          <wp:positionV relativeFrom="paragraph">
            <wp:posOffset>-474980</wp:posOffset>
          </wp:positionV>
          <wp:extent cx="1556385" cy="745490"/>
          <wp:effectExtent l="0" t="0" r="571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6F84">
      <w:rPr>
        <w:noProof/>
      </w:rPr>
      <w:drawing>
        <wp:anchor distT="0" distB="0" distL="114300" distR="114300" simplePos="0" relativeHeight="251659264" behindDoc="1" locked="0" layoutInCell="1" allowOverlap="1" wp14:anchorId="1AB79446" wp14:editId="4FA179C3">
          <wp:simplePos x="0" y="0"/>
          <wp:positionH relativeFrom="margin">
            <wp:posOffset>4693285</wp:posOffset>
          </wp:positionH>
          <wp:positionV relativeFrom="paragraph">
            <wp:posOffset>-465455</wp:posOffset>
          </wp:positionV>
          <wp:extent cx="1533525" cy="736600"/>
          <wp:effectExtent l="0" t="0" r="952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43EE5"/>
    <w:multiLevelType w:val="hybridMultilevel"/>
    <w:tmpl w:val="8C6EBCBE"/>
    <w:lvl w:ilvl="0" w:tplc="7E5AE61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D69"/>
    <w:rsid w:val="00080D69"/>
    <w:rsid w:val="00191122"/>
    <w:rsid w:val="002E03C9"/>
    <w:rsid w:val="0038592A"/>
    <w:rsid w:val="006D6B7D"/>
    <w:rsid w:val="00745228"/>
    <w:rsid w:val="00AE0366"/>
    <w:rsid w:val="00DA1B39"/>
    <w:rsid w:val="00E2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E9CB"/>
  <w15:chartTrackingRefBased/>
  <w15:docId w15:val="{194D0328-51D0-4F96-9C74-E8620656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,sw tekst,List Paragraph,Akapit z listą4,Podsis rysunku,BulletC,Wyliczanie,Obiekt,normalny tekst,Akapit z listą31,Bullets,Wypunktowanie,CP-UC,CP-Punkty,Bullet List,b1,lp1"/>
    <w:basedOn w:val="Normalny"/>
    <w:link w:val="AkapitzlistZnak"/>
    <w:qFormat/>
    <w:rsid w:val="00E26F84"/>
    <w:pPr>
      <w:ind w:left="720"/>
      <w:contextualSpacing/>
    </w:pPr>
  </w:style>
  <w:style w:type="character" w:customStyle="1" w:styleId="AkapitzlistZnak">
    <w:name w:val="Akapit z listą Znak"/>
    <w:aliases w:val="T_SZ_List Paragraph Znak,L1 Znak,Numerowanie Znak,Akapit z listą5 Znak,sw tekst Znak,List Paragraph Znak,Akapit z listą4 Znak,Podsis rysunku Znak,BulletC Znak,Wyliczanie Znak,Obiekt Znak,normalny tekst Znak,Akapit z listą31 Znak"/>
    <w:link w:val="Akapitzlist"/>
    <w:qFormat/>
    <w:locked/>
    <w:rsid w:val="00E26F84"/>
  </w:style>
  <w:style w:type="table" w:styleId="Tabela-Siatka">
    <w:name w:val="Table Grid"/>
    <w:basedOn w:val="Standardowy"/>
    <w:rsid w:val="00E26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6F84"/>
  </w:style>
  <w:style w:type="paragraph" w:styleId="Stopka">
    <w:name w:val="footer"/>
    <w:basedOn w:val="Normalny"/>
    <w:link w:val="StopkaZnak"/>
    <w:uiPriority w:val="99"/>
    <w:unhideWhenUsed/>
    <w:rsid w:val="00E2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Nawrocki</dc:creator>
  <cp:keywords/>
  <dc:description/>
  <cp:lastModifiedBy>Paweł Nawrocki</cp:lastModifiedBy>
  <cp:revision>4</cp:revision>
  <dcterms:created xsi:type="dcterms:W3CDTF">2026-03-09T12:25:00Z</dcterms:created>
  <dcterms:modified xsi:type="dcterms:W3CDTF">2026-03-09T13:29:00Z</dcterms:modified>
</cp:coreProperties>
</file>